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AF4E" w14:textId="77777777" w:rsidR="004859F9" w:rsidRPr="003C6BA8" w:rsidRDefault="004141F2" w:rsidP="004859F9">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648CFF80" w14:textId="77777777" w:rsidR="004859F9" w:rsidRPr="003C6BA8" w:rsidRDefault="004141F2" w:rsidP="004859F9">
      <w:pPr>
        <w:widowControl w:val="0"/>
        <w:suppressAutoHyphens/>
        <w:jc w:val="right"/>
        <w:rPr>
          <w:rFonts w:eastAsia="Lucida Sans Unicode"/>
          <w:lang w:eastAsia="ar-SA"/>
        </w:rPr>
      </w:pPr>
      <w:r w:rsidRPr="003C6BA8">
        <w:rPr>
          <w:rFonts w:eastAsia="Lucida Sans Unicode"/>
          <w:lang w:eastAsia="ar-SA"/>
        </w:rPr>
        <w:t>APSTIPRINĀTS</w:t>
      </w:r>
    </w:p>
    <w:p w14:paraId="1032CC3C" w14:textId="77777777" w:rsidR="004859F9" w:rsidRPr="003C6BA8" w:rsidRDefault="004141F2" w:rsidP="004859F9">
      <w:pPr>
        <w:widowControl w:val="0"/>
        <w:suppressAutoHyphens/>
        <w:jc w:val="right"/>
        <w:rPr>
          <w:rFonts w:eastAsia="Lucida Sans Unicode"/>
          <w:lang w:eastAsia="ar-SA"/>
        </w:rPr>
      </w:pPr>
      <w:r w:rsidRPr="003C6BA8">
        <w:rPr>
          <w:rFonts w:eastAsia="Lucida Sans Unicode"/>
          <w:lang w:eastAsia="ar-SA"/>
        </w:rPr>
        <w:t>ar Jēkabpils novada</w:t>
      </w:r>
    </w:p>
    <w:p w14:paraId="07D1E182" w14:textId="77777777" w:rsidR="004859F9" w:rsidRPr="003C6BA8" w:rsidRDefault="004141F2" w:rsidP="004859F9">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19C4E530" w14:textId="0288612D" w:rsidR="004859F9" w:rsidRPr="00270028" w:rsidRDefault="004141F2" w:rsidP="004859F9">
      <w:pPr>
        <w:widowControl w:val="0"/>
        <w:suppressAutoHyphens/>
        <w:jc w:val="right"/>
        <w:rPr>
          <w:rFonts w:eastAsia="Lucida Sans Unicode"/>
          <w:lang w:eastAsia="ar-SA"/>
        </w:rPr>
      </w:pPr>
      <w:r>
        <w:rPr>
          <w:rFonts w:eastAsia="Lucida Sans Unicode"/>
          <w:lang w:eastAsia="ar-SA"/>
        </w:rPr>
        <w:t>21.01</w:t>
      </w:r>
      <w:r w:rsidRPr="00270028">
        <w:rPr>
          <w:rFonts w:eastAsia="Lucida Sans Unicode"/>
          <w:lang w:eastAsia="ar-SA"/>
        </w:rPr>
        <w:t>.202</w:t>
      </w:r>
      <w:r w:rsidR="00033CC0">
        <w:rPr>
          <w:rFonts w:eastAsia="Lucida Sans Unicode"/>
          <w:lang w:eastAsia="ar-SA"/>
        </w:rPr>
        <w:t>5</w:t>
      </w:r>
      <w:r w:rsidRPr="00270028">
        <w:rPr>
          <w:rFonts w:eastAsia="Lucida Sans Unicode"/>
          <w:lang w:eastAsia="ar-SA"/>
        </w:rPr>
        <w:t>. lēmumu Nr.</w:t>
      </w:r>
      <w:r w:rsidRPr="00270028">
        <w:rPr>
          <w:rFonts w:cs="Tahoma"/>
          <w:bCs/>
          <w:noProof/>
        </w:rPr>
        <w:t xml:space="preserve"> </w:t>
      </w:r>
      <w:r w:rsidRPr="004141F2">
        <w:rPr>
          <w:rFonts w:cs="Tahoma"/>
          <w:bCs/>
          <w:noProof/>
        </w:rPr>
        <w:t>1-40/25/22</w:t>
      </w:r>
    </w:p>
    <w:p w14:paraId="31991551" w14:textId="77777777" w:rsidR="004859F9" w:rsidRPr="003C6BA8" w:rsidRDefault="004859F9" w:rsidP="004859F9">
      <w:pPr>
        <w:suppressAutoHyphens/>
        <w:jc w:val="right"/>
        <w:rPr>
          <w:bCs/>
          <w:szCs w:val="22"/>
          <w:lang w:eastAsia="zh-CN"/>
        </w:rPr>
      </w:pPr>
    </w:p>
    <w:p w14:paraId="58D384B7" w14:textId="77777777" w:rsidR="004859F9" w:rsidRPr="003C6BA8" w:rsidRDefault="004859F9" w:rsidP="004859F9">
      <w:pPr>
        <w:suppressAutoHyphens/>
        <w:jc w:val="right"/>
        <w:rPr>
          <w:bCs/>
          <w:szCs w:val="22"/>
          <w:lang w:eastAsia="zh-CN"/>
        </w:rPr>
      </w:pPr>
    </w:p>
    <w:p w14:paraId="4597347A" w14:textId="77777777" w:rsidR="004859F9" w:rsidRDefault="004141F2" w:rsidP="004859F9">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0020</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7</w:t>
      </w:r>
      <w:r w:rsidRPr="00647B24">
        <w:rPr>
          <w:b/>
          <w:bCs/>
          <w:iCs/>
          <w:kern w:val="16"/>
          <w:lang w:eastAsia="ar-SA"/>
        </w:rPr>
        <w:t>,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54C4F78C" w14:textId="77777777" w:rsidR="004859F9" w:rsidRPr="003C6BA8" w:rsidRDefault="004141F2" w:rsidP="004859F9">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23599DC9" w14:textId="77777777" w:rsidR="004859F9" w:rsidRPr="003C6BA8" w:rsidRDefault="004141F2" w:rsidP="004859F9">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0020</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7</w:t>
      </w:r>
      <w:r w:rsidRPr="00647B24">
        <w:rPr>
          <w:b/>
          <w:bCs/>
          <w:iCs/>
          <w:kern w:val="16"/>
          <w:lang w:eastAsia="ar-SA"/>
        </w:rPr>
        <w:t>,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4006FF63" w14:textId="77777777" w:rsidR="004859F9" w:rsidRPr="00EE1883" w:rsidRDefault="004141F2" w:rsidP="004859F9">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67804ADC" w14:textId="77777777" w:rsidR="004859F9" w:rsidRPr="00DF001B" w:rsidRDefault="004141F2" w:rsidP="004859F9">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3FC4C837" w14:textId="77777777" w:rsidR="004859F9" w:rsidRPr="00A55310" w:rsidRDefault="004141F2" w:rsidP="004859F9">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4859F9" w:rsidRPr="00A55310">
          <w:rPr>
            <w:rFonts w:eastAsia="Calibri"/>
            <w:b/>
            <w:u w:val="single"/>
            <w:lang w:eastAsia="zh-CN"/>
          </w:rPr>
          <w:t>https://izsoles.ta.gov.lv</w:t>
        </w:r>
      </w:hyperlink>
      <w:hyperlink r:id="rId13" w:history="1">
        <w:r w:rsidR="004859F9" w:rsidRPr="00A55310">
          <w:rPr>
            <w:rFonts w:eastAsia="Calibri"/>
            <w:b/>
            <w:u w:val="single"/>
            <w:lang w:eastAsia="zh-CN"/>
          </w:rPr>
          <w:t>.</w:t>
        </w:r>
      </w:hyperlink>
    </w:p>
    <w:p w14:paraId="7B41CE34" w14:textId="77777777" w:rsidR="004859F9" w:rsidRPr="00A55310" w:rsidRDefault="004141F2" w:rsidP="004859F9">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Pr>
          <w:rFonts w:eastAsia="Calibri"/>
          <w:b/>
          <w:bCs/>
          <w:lang w:eastAsia="zh-CN"/>
        </w:rPr>
        <w:t>22</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w:t>
      </w:r>
      <w:r>
        <w:rPr>
          <w:rFonts w:eastAsia="Lucida Sans Unicode"/>
          <w:b/>
          <w:bCs/>
          <w:noProof/>
        </w:rPr>
        <w:t xml:space="preserve">divi       </w:t>
      </w:r>
      <w:r w:rsidRPr="00CB76EE">
        <w:rPr>
          <w:rFonts w:cs="Tahoma"/>
          <w:b/>
          <w:bCs/>
          <w:lang w:eastAsia="ar-SA"/>
        </w:rPr>
        <w:t xml:space="preserve"> </w:t>
      </w:r>
      <w:r>
        <w:rPr>
          <w:rFonts w:cs="Tahoma"/>
          <w:b/>
          <w:bCs/>
          <w:lang w:eastAsia="ar-SA"/>
        </w:rPr>
        <w:t xml:space="preserve">  </w:t>
      </w:r>
      <w:r w:rsidRPr="00CB76EE">
        <w:rPr>
          <w:rFonts w:cs="Tahoma"/>
          <w:b/>
          <w:bCs/>
          <w:lang w:eastAsia="ar-SA"/>
        </w:rPr>
        <w:t>tūksto</w:t>
      </w:r>
      <w:r>
        <w:rPr>
          <w:rFonts w:cs="Tahoma"/>
          <w:b/>
          <w:bCs/>
          <w:lang w:eastAsia="ar-SA"/>
        </w:rPr>
        <w:t>ši</w:t>
      </w:r>
      <w:r w:rsidRPr="00CB76EE">
        <w:rPr>
          <w:rFonts w:cs="Tahoma"/>
          <w:b/>
          <w:bCs/>
          <w:lang w:eastAsia="ar-SA"/>
        </w:rPr>
        <w:t xml:space="preserve"> </w:t>
      </w:r>
      <w:r>
        <w:rPr>
          <w:rFonts w:cs="Tahoma"/>
          <w:b/>
          <w:bCs/>
          <w:lang w:eastAsia="ar-SA"/>
        </w:rPr>
        <w:t>divi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Pr>
          <w:rFonts w:eastAsia="Calibri"/>
          <w:b/>
          <w:bCs/>
          <w:lang w:eastAsia="zh-CN"/>
        </w:rPr>
        <w:t>2</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Pr>
          <w:rFonts w:eastAsia="Calibri"/>
          <w:lang w:eastAsia="zh-CN"/>
        </w:rPr>
        <w:t>divi</w:t>
      </w:r>
      <w:r w:rsidRPr="00A55310">
        <w:rPr>
          <w:rFonts w:eastAsia="Calibri"/>
          <w:lang w:eastAsia="zh-CN"/>
        </w:rPr>
        <w:t xml:space="preserve"> simt</w:t>
      </w:r>
      <w:r>
        <w:rPr>
          <w:rFonts w:eastAsia="Calibri"/>
          <w:lang w:eastAsia="zh-CN"/>
        </w:rPr>
        <w:t>i</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26909422" w14:textId="77777777" w:rsidR="004859F9" w:rsidRPr="002F52C9" w:rsidRDefault="004141F2" w:rsidP="004859F9">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138F9DEB" w14:textId="77777777" w:rsidR="004859F9" w:rsidRPr="002F52C9" w:rsidRDefault="004141F2" w:rsidP="004859F9">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07A9F161" w14:textId="77777777" w:rsidR="004859F9" w:rsidRDefault="004141F2" w:rsidP="004859F9">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4859F9"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1D9DC1C6" w14:textId="77777777" w:rsidR="004859F9" w:rsidRPr="002F52C9" w:rsidRDefault="004141F2" w:rsidP="004859F9">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4859F9" w:rsidRPr="002F52C9">
          <w:rPr>
            <w:rFonts w:eastAsia="Calibri"/>
            <w:bCs/>
            <w:lang w:eastAsia="zh-CN"/>
          </w:rPr>
          <w:t>www.jekabpils.lv</w:t>
        </w:r>
      </w:hyperlink>
      <w:r w:rsidRPr="002F52C9">
        <w:rPr>
          <w:rFonts w:eastAsia="Calibri"/>
          <w:bCs/>
          <w:lang w:eastAsia="zh-CN"/>
        </w:rPr>
        <w:t>; kā arī</w:t>
      </w:r>
    </w:p>
    <w:p w14:paraId="481F90DC" w14:textId="77777777" w:rsidR="004859F9" w:rsidRPr="002F52C9" w:rsidRDefault="004141F2" w:rsidP="004859F9">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7E053025" w14:textId="77777777" w:rsidR="004859F9" w:rsidRPr="00DF001B" w:rsidRDefault="004141F2" w:rsidP="004859F9">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2814EEAF" w14:textId="618138F3" w:rsidR="004859F9" w:rsidRPr="003C6BA8" w:rsidRDefault="004141F2" w:rsidP="004859F9">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5690 900 0020, </w:t>
      </w:r>
      <w:r>
        <w:rPr>
          <w:iCs/>
          <w:kern w:val="16"/>
          <w:lang w:eastAsia="ar-SA"/>
        </w:rPr>
        <w:t xml:space="preserve">“Līkumi 3”- 7,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trīs istabu dzīvokļa ar Nr. 7 platībā 56,3</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w:t>
      </w:r>
      <w:r>
        <w:t>563/5291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w:t>
      </w:r>
      <w:r w:rsidR="00F7663D">
        <w:rPr>
          <w:rFonts w:eastAsia="Lucida Sans Unicode"/>
        </w:rPr>
        <w:t>ēlpils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100000140674 - 7</w:t>
      </w:r>
      <w:r>
        <w:rPr>
          <w:iCs/>
          <w:kern w:val="16"/>
          <w:lang w:eastAsia="ar-SA"/>
        </w:rPr>
        <w:t xml:space="preserve">, </w:t>
      </w:r>
      <w:r w:rsidRPr="003C6BA8">
        <w:rPr>
          <w:rFonts w:eastAsia="Lucida Sans Unicode"/>
        </w:rPr>
        <w:t>uz Jēkabpils novada pašvaldības vārda (turpmāk arī - Pašvaldība).</w:t>
      </w:r>
    </w:p>
    <w:p w14:paraId="46157123" w14:textId="77777777" w:rsidR="004859F9" w:rsidRPr="003C6BA8" w:rsidRDefault="004141F2" w:rsidP="004859F9">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FA22315" w14:textId="77777777" w:rsidR="004859F9" w:rsidRPr="00EA1179" w:rsidRDefault="004141F2" w:rsidP="004859F9">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4A28AE86" w14:textId="77777777" w:rsidR="004859F9" w:rsidRPr="003C6BA8" w:rsidRDefault="004141F2" w:rsidP="004859F9">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15BC38FA" w14:textId="77777777" w:rsidR="004859F9" w:rsidRPr="003C6BA8" w:rsidRDefault="004141F2" w:rsidP="004859F9">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70E290AE" w14:textId="77777777" w:rsidR="004859F9" w:rsidRPr="003C6BA8" w:rsidRDefault="004141F2" w:rsidP="004859F9">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3ED55673" w14:textId="77777777" w:rsidR="004859F9" w:rsidRPr="003C6BA8" w:rsidRDefault="004141F2" w:rsidP="004859F9">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196261B5" w14:textId="77777777" w:rsidR="004859F9" w:rsidRPr="003C6BA8" w:rsidRDefault="004141F2" w:rsidP="004859F9">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E4B0DC1" w14:textId="77777777" w:rsidR="004859F9" w:rsidRPr="00EA1179" w:rsidRDefault="004141F2" w:rsidP="004859F9">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05B9D5F" w14:textId="77777777" w:rsidR="004859F9" w:rsidRPr="007712FC" w:rsidRDefault="004141F2" w:rsidP="004859F9">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65B133E1" w14:textId="63F0C306" w:rsidR="004859F9" w:rsidRPr="003C6BA8" w:rsidRDefault="004141F2" w:rsidP="004859F9">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r w:rsidR="00033CC0" w:rsidRPr="00033CC0">
        <w:rPr>
          <w:rFonts w:eastAsia="Calibri"/>
          <w:b/>
          <w:lang w:eastAsia="zh-CN"/>
        </w:rPr>
        <w:t>19</w:t>
      </w:r>
      <w:r w:rsidRPr="00033CC0">
        <w:rPr>
          <w:rFonts w:eastAsia="Calibri"/>
          <w:b/>
          <w:lang w:eastAsia="zh-CN"/>
        </w:rPr>
        <w:t>.0</w:t>
      </w:r>
      <w:r w:rsidR="00033CC0" w:rsidRPr="00033CC0">
        <w:rPr>
          <w:rFonts w:eastAsia="Calibri"/>
          <w:b/>
          <w:lang w:eastAsia="zh-CN"/>
        </w:rPr>
        <w:t>3</w:t>
      </w:r>
      <w:r w:rsidRPr="00033CC0">
        <w:rPr>
          <w:rFonts w:eastAsia="Calibri"/>
          <w:b/>
          <w:lang w:eastAsia="zh-CN"/>
        </w:rPr>
        <w:t>.202</w:t>
      </w:r>
      <w:r w:rsidR="00033CC0" w:rsidRPr="00033CC0">
        <w:rPr>
          <w:rFonts w:eastAsia="Calibri"/>
          <w:b/>
          <w:lang w:eastAsia="zh-CN"/>
        </w:rPr>
        <w:t>5</w:t>
      </w:r>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5A202DEE" w14:textId="77777777" w:rsidR="004859F9" w:rsidRPr="003C6BA8" w:rsidRDefault="004141F2" w:rsidP="004859F9">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1F8EF295" w14:textId="77777777" w:rsidR="004859F9" w:rsidRPr="00EA1179" w:rsidRDefault="004141F2" w:rsidP="004859F9">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49FCFFEA" w14:textId="77777777" w:rsidR="004859F9" w:rsidRPr="003C6BA8" w:rsidRDefault="004141F2" w:rsidP="004859F9">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09F2A048" w14:textId="28A6B853" w:rsidR="004859F9" w:rsidRPr="00DA31FF" w:rsidRDefault="004141F2" w:rsidP="004859F9">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033CC0" w:rsidRPr="00033CC0">
        <w:rPr>
          <w:rFonts w:eastAsia="Calibri"/>
          <w:b/>
          <w:lang w:eastAsia="zh-CN"/>
        </w:rPr>
        <w:t>19.03.2025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2" w:name="_Hlk157609371"/>
      <w:r>
        <w:rPr>
          <w:rFonts w:eastAsia="Lucida Sans Unicode"/>
          <w:b/>
          <w:bCs/>
          <w:color w:val="000000" w:themeColor="text1"/>
          <w:lang w:eastAsia="zh-CN" w:bidi="he-IL"/>
        </w:rPr>
        <w:t>220,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w:t>
      </w:r>
      <w:r>
        <w:rPr>
          <w:rFonts w:eastAsia="Lucida Sans Unicode"/>
          <w:lang w:eastAsia="zh-CN" w:bidi="he-IL"/>
        </w:rPr>
        <w:t>divi</w:t>
      </w:r>
      <w:r w:rsidRPr="00DA31FF">
        <w:rPr>
          <w:rFonts w:eastAsia="Lucida Sans Unicode"/>
          <w:lang w:eastAsia="zh-CN" w:bidi="he-IL"/>
        </w:rPr>
        <w:t xml:space="preserve"> simt</w:t>
      </w:r>
      <w:r>
        <w:rPr>
          <w:rFonts w:eastAsia="Lucida Sans Unicode"/>
          <w:lang w:eastAsia="zh-CN" w:bidi="he-IL"/>
        </w:rPr>
        <w:t>i divdesmit</w:t>
      </w:r>
      <w:r w:rsidRPr="00DA31FF">
        <w:rPr>
          <w:rFonts w:eastAsia="Lucida Sans Unicode"/>
          <w:lang w:eastAsia="zh-CN" w:bidi="he-IL"/>
        </w:rPr>
        <w:t xml:space="preserve"> eiro un 00 centi</w:t>
      </w:r>
      <w:bookmarkEnd w:id="2"/>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3BFBAFB1" w14:textId="77777777" w:rsidR="004859F9" w:rsidRPr="006D105A" w:rsidRDefault="004141F2" w:rsidP="004859F9">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w:t>
      </w:r>
      <w:r>
        <w:rPr>
          <w:rFonts w:eastAsia="Lucida Sans Unicode"/>
          <w:b/>
          <w:bCs/>
          <w:noProof/>
        </w:rPr>
        <w:t>0020</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w:t>
      </w:r>
      <w:r>
        <w:rPr>
          <w:b/>
          <w:bCs/>
          <w:iCs/>
          <w:kern w:val="16"/>
          <w:lang w:eastAsia="ar-SA"/>
        </w:rPr>
        <w:t xml:space="preserve"> 7</w:t>
      </w:r>
      <w:r w:rsidRPr="00DA31FF">
        <w:rPr>
          <w:b/>
          <w:bCs/>
          <w:iCs/>
          <w:kern w:val="16"/>
          <w:lang w:eastAsia="ar-SA"/>
        </w:rPr>
        <w:t>,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418FE25B" w14:textId="77777777" w:rsidR="004859F9" w:rsidRPr="00BA3A0D" w:rsidRDefault="004859F9" w:rsidP="004859F9">
      <w:pPr>
        <w:pStyle w:val="Sarakstarindkopa"/>
        <w:widowControl w:val="0"/>
        <w:tabs>
          <w:tab w:val="left" w:pos="1134"/>
        </w:tabs>
        <w:ind w:left="567"/>
        <w:contextualSpacing w:val="0"/>
        <w:jc w:val="both"/>
        <w:rPr>
          <w:color w:val="0070C0"/>
          <w:lang w:eastAsia="zh-CN"/>
        </w:rPr>
      </w:pPr>
    </w:p>
    <w:p w14:paraId="47EB9AB8" w14:textId="77777777" w:rsidR="004859F9" w:rsidRPr="006D105A" w:rsidRDefault="004141F2" w:rsidP="004859F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349B60A2" w14:textId="77777777" w:rsidR="004859F9" w:rsidRPr="006D105A" w:rsidRDefault="004141F2" w:rsidP="004859F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47D6EDE2" w14:textId="77777777" w:rsidR="004859F9" w:rsidRPr="006D105A" w:rsidRDefault="004141F2" w:rsidP="004859F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1B70D870" w14:textId="77777777" w:rsidR="004859F9" w:rsidRPr="006D105A" w:rsidRDefault="004141F2" w:rsidP="004859F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532BF24A" w14:textId="77777777" w:rsidR="004859F9" w:rsidRPr="006D105A" w:rsidRDefault="004859F9" w:rsidP="004859F9">
      <w:pPr>
        <w:pStyle w:val="Sarakstarindkopa"/>
        <w:widowControl w:val="0"/>
        <w:tabs>
          <w:tab w:val="left" w:pos="1134"/>
        </w:tabs>
        <w:ind w:left="567"/>
        <w:contextualSpacing w:val="0"/>
        <w:jc w:val="both"/>
        <w:rPr>
          <w:rFonts w:eastAsia="Lucida Sans Unicode"/>
          <w:color w:val="000000" w:themeColor="text1"/>
          <w:lang w:eastAsia="zh-CN" w:bidi="he-IL"/>
        </w:rPr>
      </w:pPr>
    </w:p>
    <w:p w14:paraId="57FAE429" w14:textId="77777777" w:rsidR="004859F9" w:rsidRPr="00E77341" w:rsidRDefault="004141F2" w:rsidP="004859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4859F9"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4F0FEC95" w14:textId="77777777" w:rsidR="004859F9" w:rsidRPr="003C6BA8" w:rsidRDefault="004141F2" w:rsidP="004859F9">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30F3FB5A" w14:textId="77777777" w:rsidR="004859F9" w:rsidRPr="006D105A" w:rsidRDefault="004141F2" w:rsidP="004859F9">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1AFE82C4" w14:textId="77777777" w:rsidR="004859F9" w:rsidRPr="006D105A" w:rsidRDefault="004141F2" w:rsidP="004859F9">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30EB4F3A" w14:textId="77777777" w:rsidR="004859F9" w:rsidRPr="006D105A" w:rsidRDefault="004141F2" w:rsidP="004859F9">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4859F9"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4859F9"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4E4B3C7C" w14:textId="77777777" w:rsidR="004859F9" w:rsidRPr="006D105A" w:rsidRDefault="004141F2" w:rsidP="004859F9">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375C47C6" w14:textId="77777777" w:rsidR="004859F9" w:rsidRPr="006D105A" w:rsidRDefault="004141F2" w:rsidP="004859F9">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6A3A51E4" w14:textId="77777777" w:rsidR="004859F9" w:rsidRPr="006D105A" w:rsidRDefault="004141F2" w:rsidP="004859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5A64854C" w14:textId="77777777" w:rsidR="004859F9" w:rsidRPr="006D105A" w:rsidRDefault="004141F2" w:rsidP="004859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5D5A9CE8" w14:textId="77777777" w:rsidR="004859F9" w:rsidRPr="006D105A" w:rsidRDefault="004141F2" w:rsidP="004859F9">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78426A7C" w14:textId="77777777" w:rsidR="004859F9" w:rsidRPr="006D105A" w:rsidRDefault="004141F2" w:rsidP="004859F9">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26FC2111" w14:textId="64884916"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033CC0" w:rsidRPr="00033CC0">
        <w:rPr>
          <w:b/>
          <w:bCs/>
          <w:color w:val="000000" w:themeColor="text1"/>
        </w:rPr>
        <w:t>27.02.2025</w:t>
      </w:r>
      <w:r w:rsidRPr="00033CC0">
        <w:rPr>
          <w:b/>
          <w:bCs/>
          <w:color w:val="000000" w:themeColor="text1"/>
        </w:rPr>
        <w:t xml:space="preserve">. plkst. 13:00 līdz </w:t>
      </w:r>
      <w:r w:rsidR="00033CC0" w:rsidRPr="00033CC0">
        <w:rPr>
          <w:b/>
          <w:bCs/>
          <w:color w:val="000000" w:themeColor="text1"/>
        </w:rPr>
        <w:t>19.03.2025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318D5322"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15BAFD8C" w14:textId="77777777" w:rsidR="004859F9" w:rsidRPr="006D105A" w:rsidRDefault="004141F2" w:rsidP="004859F9">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419D8E32"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5464DFB1"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3CE666BD"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6E00278A"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6F9D2E5"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091C551D"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1EF9FCAC"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775F22BB"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17C44E61"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60FFAF2F"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4BF09702" w14:textId="77777777" w:rsidR="004859F9" w:rsidRPr="006D105A" w:rsidRDefault="004141F2" w:rsidP="004859F9">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7DE0802"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4BE61E3A"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6226751"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00E27CE0"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0BDD46D0"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42F25E33"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67149830" w14:textId="77777777" w:rsidR="004859F9" w:rsidRPr="006D105A" w:rsidRDefault="004141F2" w:rsidP="004859F9">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C1F60E0"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7AD43961"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3AAA2D6F"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2D9DC415"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18781B6B"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52C09DC7"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271C731"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1F36BDC" w14:textId="77777777" w:rsidR="004859F9" w:rsidRPr="006D105A" w:rsidRDefault="004141F2" w:rsidP="004859F9">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27D8E39" w14:textId="60AB0D12" w:rsidR="004859F9" w:rsidRPr="006D105A" w:rsidRDefault="004141F2" w:rsidP="004859F9">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033CC0" w:rsidRPr="00033CC0">
        <w:rPr>
          <w:b/>
          <w:bCs/>
          <w:color w:val="000000" w:themeColor="text1"/>
        </w:rPr>
        <w:t>27.02.2025</w:t>
      </w:r>
      <w:r w:rsidRPr="00E5003E">
        <w:rPr>
          <w:b/>
          <w:bCs/>
          <w:color w:val="000000" w:themeColor="text1"/>
        </w:rPr>
        <w:t>. plkst</w:t>
      </w:r>
      <w:r w:rsidRPr="006D105A">
        <w:rPr>
          <w:b/>
          <w:bCs/>
          <w:color w:val="000000" w:themeColor="text1"/>
        </w:rPr>
        <w:t xml:space="preserve">. 13:00 un noslēdzas </w:t>
      </w:r>
      <w:r w:rsidR="00033CC0" w:rsidRPr="00033CC0">
        <w:rPr>
          <w:b/>
          <w:bCs/>
          <w:color w:val="000000" w:themeColor="text1"/>
        </w:rPr>
        <w:t>31</w:t>
      </w:r>
      <w:r w:rsidRPr="00033CC0">
        <w:rPr>
          <w:b/>
          <w:bCs/>
          <w:color w:val="000000" w:themeColor="text1"/>
        </w:rPr>
        <w:t>.0</w:t>
      </w:r>
      <w:r w:rsidR="00033CC0" w:rsidRPr="00033CC0">
        <w:rPr>
          <w:b/>
          <w:bCs/>
          <w:color w:val="000000" w:themeColor="text1"/>
        </w:rPr>
        <w:t>3</w:t>
      </w:r>
      <w:r w:rsidRPr="00033CC0">
        <w:rPr>
          <w:b/>
          <w:bCs/>
          <w:color w:val="000000" w:themeColor="text1"/>
        </w:rPr>
        <w:t>.202</w:t>
      </w:r>
      <w:r w:rsidR="00033CC0" w:rsidRPr="00033CC0">
        <w:rPr>
          <w:b/>
          <w:bCs/>
          <w:color w:val="000000" w:themeColor="text1"/>
        </w:rPr>
        <w:t>5</w:t>
      </w:r>
      <w:r w:rsidRPr="00E5003E">
        <w:rPr>
          <w:b/>
          <w:bCs/>
          <w:color w:val="000000" w:themeColor="text1"/>
        </w:rPr>
        <w:t>. plkst</w:t>
      </w:r>
      <w:r w:rsidRPr="00D85C16">
        <w:rPr>
          <w:b/>
          <w:bCs/>
          <w:color w:val="000000" w:themeColor="text1"/>
        </w:rPr>
        <w:t>. 13:00.</w:t>
      </w:r>
    </w:p>
    <w:p w14:paraId="75C5D621"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41B49D62"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490699EF"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1D4C3DCB"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10EB51AA"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2EA8B416"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191174DB" w14:textId="77777777" w:rsidR="004859F9" w:rsidRPr="006D105A" w:rsidRDefault="004141F2" w:rsidP="004859F9">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4DBCA643"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594334BA"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24A9BFD"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34EF947"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07BDCD66"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177D79CD"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3B65EB8"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465C97CC"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69384466"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2EA4EE59"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08589863"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49DACF74" w14:textId="77777777" w:rsidR="004859F9" w:rsidRPr="006D105A" w:rsidRDefault="004141F2" w:rsidP="004859F9">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6A556589"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69253526"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5374E0B9"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45DE04F4"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7170E61F"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1339192B"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10873B4D"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2EFAA0B0" w14:textId="77777777" w:rsidR="004859F9" w:rsidRPr="006D105A" w:rsidRDefault="004141F2" w:rsidP="004859F9">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5FF33DC0" w14:textId="77777777" w:rsidR="004859F9" w:rsidRPr="006D105A" w:rsidRDefault="004141F2" w:rsidP="004859F9">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1194E956"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18C84204"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59948A7"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74850728"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2E70773A"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2B9AC2EA" w14:textId="77777777" w:rsidR="004859F9" w:rsidRPr="006D105A" w:rsidRDefault="004141F2" w:rsidP="004859F9">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6B34527D"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4859F9"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514D6A30" w14:textId="77777777" w:rsidR="004859F9" w:rsidRPr="006D105A" w:rsidRDefault="004141F2" w:rsidP="004859F9">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1EF991E" w14:textId="77777777" w:rsidR="004859F9" w:rsidRDefault="004859F9" w:rsidP="004859F9">
      <w:pPr>
        <w:ind w:right="43"/>
        <w:jc w:val="both"/>
        <w:rPr>
          <w:bCs/>
          <w:lang w:eastAsia="lv-LV"/>
        </w:rPr>
      </w:pPr>
    </w:p>
    <w:p w14:paraId="7FD1DA07" w14:textId="77777777" w:rsidR="004859F9" w:rsidRPr="003C6BA8" w:rsidRDefault="004859F9" w:rsidP="004859F9">
      <w:pPr>
        <w:ind w:right="43"/>
        <w:jc w:val="both"/>
        <w:rPr>
          <w:bCs/>
          <w:lang w:eastAsia="lv-LV"/>
        </w:rPr>
      </w:pPr>
    </w:p>
    <w:p w14:paraId="30A63F59" w14:textId="77777777" w:rsidR="004859F9" w:rsidRDefault="004141F2" w:rsidP="004859F9">
      <w:pPr>
        <w:tabs>
          <w:tab w:val="right" w:pos="9356"/>
        </w:tabs>
        <w:suppressAutoHyphens/>
        <w:rPr>
          <w:lang w:eastAsia="ar-SA"/>
        </w:rPr>
      </w:pPr>
      <w:r w:rsidRPr="00435DEC">
        <w:t>Jēkabpils novada Attīstības pārvaldes vadītāja</w:t>
      </w:r>
      <w:r w:rsidRPr="00435DEC">
        <w:rPr>
          <w:lang w:eastAsia="ar-SA"/>
        </w:rPr>
        <w:tab/>
      </w:r>
      <w:proofErr w:type="spellStart"/>
      <w:r w:rsidRPr="00435DEC">
        <w:rPr>
          <w:lang w:eastAsia="ar-SA"/>
        </w:rPr>
        <w:t>B.Voltmane</w:t>
      </w:r>
      <w:proofErr w:type="spellEnd"/>
    </w:p>
    <w:p w14:paraId="74D8F619" w14:textId="77777777" w:rsidR="004859F9" w:rsidRDefault="004859F9" w:rsidP="004859F9">
      <w:pPr>
        <w:tabs>
          <w:tab w:val="right" w:pos="9356"/>
        </w:tabs>
        <w:suppressAutoHyphens/>
        <w:rPr>
          <w:lang w:eastAsia="ar-SA"/>
        </w:rPr>
      </w:pPr>
    </w:p>
    <w:p w14:paraId="2B1F2AC6" w14:textId="77777777" w:rsidR="004859F9" w:rsidRDefault="004859F9" w:rsidP="004859F9">
      <w:pPr>
        <w:tabs>
          <w:tab w:val="right" w:pos="9356"/>
        </w:tabs>
        <w:suppressAutoHyphens/>
        <w:rPr>
          <w:lang w:eastAsia="ar-SA"/>
        </w:rPr>
      </w:pPr>
    </w:p>
    <w:p w14:paraId="793CCB9F" w14:textId="77777777" w:rsidR="004859F9" w:rsidRDefault="004859F9" w:rsidP="004859F9">
      <w:pPr>
        <w:tabs>
          <w:tab w:val="right" w:pos="9356"/>
        </w:tabs>
        <w:suppressAutoHyphens/>
        <w:rPr>
          <w:lang w:eastAsia="ar-SA"/>
        </w:rPr>
      </w:pPr>
    </w:p>
    <w:p w14:paraId="72D5C9A2" w14:textId="77777777" w:rsidR="004859F9" w:rsidRDefault="004859F9" w:rsidP="004859F9">
      <w:pPr>
        <w:tabs>
          <w:tab w:val="right" w:pos="9356"/>
        </w:tabs>
        <w:suppressAutoHyphens/>
        <w:rPr>
          <w:lang w:eastAsia="ar-SA"/>
        </w:rPr>
      </w:pPr>
    </w:p>
    <w:p w14:paraId="777A5A36" w14:textId="77777777" w:rsidR="004859F9" w:rsidRDefault="004859F9" w:rsidP="004859F9">
      <w:pPr>
        <w:tabs>
          <w:tab w:val="right" w:pos="9356"/>
        </w:tabs>
        <w:suppressAutoHyphens/>
        <w:rPr>
          <w:lang w:eastAsia="ar-SA"/>
        </w:rPr>
      </w:pPr>
    </w:p>
    <w:p w14:paraId="5A470BB1" w14:textId="77777777" w:rsidR="004859F9" w:rsidRDefault="004859F9" w:rsidP="004859F9">
      <w:pPr>
        <w:tabs>
          <w:tab w:val="right" w:pos="9356"/>
        </w:tabs>
        <w:suppressAutoHyphens/>
        <w:rPr>
          <w:lang w:eastAsia="ar-SA"/>
        </w:rPr>
      </w:pPr>
    </w:p>
    <w:p w14:paraId="426602D6" w14:textId="77777777" w:rsidR="004859F9" w:rsidRPr="00435DEC" w:rsidRDefault="004859F9" w:rsidP="004859F9">
      <w:pPr>
        <w:tabs>
          <w:tab w:val="right" w:pos="9356"/>
        </w:tabs>
        <w:suppressAutoHyphens/>
        <w:rPr>
          <w:lang w:eastAsia="ar-SA"/>
        </w:rPr>
      </w:pPr>
    </w:p>
    <w:p w14:paraId="5E8798FE" w14:textId="77777777" w:rsidR="004859F9" w:rsidRPr="005929C5" w:rsidRDefault="004141F2" w:rsidP="004859F9">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50E16EDA" w14:textId="330F7EF7" w:rsidR="004859F9" w:rsidRPr="00BA6851" w:rsidRDefault="004859F9" w:rsidP="008744FB">
      <w:pPr>
        <w:rPr>
          <w:color w:val="000000" w:themeColor="text1"/>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9F9C" w14:textId="77777777" w:rsidR="004141F2" w:rsidRDefault="004141F2">
      <w:r>
        <w:separator/>
      </w:r>
    </w:p>
  </w:endnote>
  <w:endnote w:type="continuationSeparator" w:id="0">
    <w:p w14:paraId="619A48E9" w14:textId="77777777" w:rsidR="004141F2" w:rsidRDefault="0041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4162"/>
      <w:docPartObj>
        <w:docPartGallery w:val="Page Numbers (Bottom of Page)"/>
        <w:docPartUnique/>
      </w:docPartObj>
    </w:sdtPr>
    <w:sdtEndPr>
      <w:rPr>
        <w:noProof/>
        <w:sz w:val="20"/>
      </w:rPr>
    </w:sdtEndPr>
    <w:sdtContent>
      <w:p w14:paraId="342ECA7A" w14:textId="77777777" w:rsidR="001D4A06" w:rsidRPr="00ED30B0" w:rsidRDefault="004141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501247B8" wp14:editId="6856385B">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68C5C142" w14:textId="77777777" w:rsidR="00ED30B0" w:rsidRPr="00B9592B" w:rsidRDefault="004141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593F36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01247B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68C5C142" w14:textId="77777777" w:rsidR="00ED30B0" w:rsidRPr="00B9592B" w:rsidRDefault="004141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593F365" w14:textId="77777777" w:rsidR="00ED30B0" w:rsidRPr="00E72E25" w:rsidRDefault="00ED30B0" w:rsidP="00ED30B0"/>
                    </w:txbxContent>
                  </v:textbox>
                </v:shape>
              </w:pict>
            </mc:Fallback>
          </mc:AlternateContent>
        </w:r>
        <w:r>
          <w:rPr>
            <w:noProof/>
            <w:lang w:eastAsia="lv-LV"/>
          </w:rPr>
          <w:drawing>
            <wp:inline distT="0" distB="0" distL="0" distR="0" wp14:anchorId="4EBCE515" wp14:editId="3FAD314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4141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248DBD7" wp14:editId="7026BFE3">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A02C945" w14:textId="77777777" w:rsidR="00CA0AB7" w:rsidRPr="00B9592B" w:rsidRDefault="004141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7F03588"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248DBD7"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A02C945" w14:textId="77777777" w:rsidR="00CA0AB7" w:rsidRPr="00B9592B" w:rsidRDefault="004141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7F03588"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199C602D" wp14:editId="1F2269CE">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18BB0" w14:textId="77777777" w:rsidR="004141F2" w:rsidRDefault="004141F2">
      <w:r>
        <w:separator/>
      </w:r>
    </w:p>
  </w:footnote>
  <w:footnote w:type="continuationSeparator" w:id="0">
    <w:p w14:paraId="3353D1CB" w14:textId="77777777" w:rsidR="004141F2" w:rsidRDefault="00414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1F5C6744">
      <w:numFmt w:val="bullet"/>
      <w:lvlText w:val="-"/>
      <w:lvlJc w:val="left"/>
      <w:pPr>
        <w:ind w:left="720" w:hanging="360"/>
      </w:pPr>
      <w:rPr>
        <w:rFonts w:ascii="Times New Roman" w:eastAsia="Times New Roman" w:hAnsi="Times New Roman" w:cs="Times New Roman" w:hint="default"/>
        <w:color w:val="auto"/>
      </w:rPr>
    </w:lvl>
    <w:lvl w:ilvl="1" w:tplc="1B5AB000" w:tentative="1">
      <w:start w:val="1"/>
      <w:numFmt w:val="bullet"/>
      <w:lvlText w:val="o"/>
      <w:lvlJc w:val="left"/>
      <w:pPr>
        <w:ind w:left="1440" w:hanging="360"/>
      </w:pPr>
      <w:rPr>
        <w:rFonts w:ascii="Courier New" w:hAnsi="Courier New" w:cs="Courier New" w:hint="default"/>
      </w:rPr>
    </w:lvl>
    <w:lvl w:ilvl="2" w:tplc="A6DE1016" w:tentative="1">
      <w:start w:val="1"/>
      <w:numFmt w:val="bullet"/>
      <w:lvlText w:val=""/>
      <w:lvlJc w:val="left"/>
      <w:pPr>
        <w:ind w:left="2160" w:hanging="360"/>
      </w:pPr>
      <w:rPr>
        <w:rFonts w:ascii="Wingdings" w:hAnsi="Wingdings" w:hint="default"/>
      </w:rPr>
    </w:lvl>
    <w:lvl w:ilvl="3" w:tplc="7A9E8CCC" w:tentative="1">
      <w:start w:val="1"/>
      <w:numFmt w:val="bullet"/>
      <w:lvlText w:val=""/>
      <w:lvlJc w:val="left"/>
      <w:pPr>
        <w:ind w:left="2880" w:hanging="360"/>
      </w:pPr>
      <w:rPr>
        <w:rFonts w:ascii="Symbol" w:hAnsi="Symbol" w:hint="default"/>
      </w:rPr>
    </w:lvl>
    <w:lvl w:ilvl="4" w:tplc="F3B400CE" w:tentative="1">
      <w:start w:val="1"/>
      <w:numFmt w:val="bullet"/>
      <w:lvlText w:val="o"/>
      <w:lvlJc w:val="left"/>
      <w:pPr>
        <w:ind w:left="3600" w:hanging="360"/>
      </w:pPr>
      <w:rPr>
        <w:rFonts w:ascii="Courier New" w:hAnsi="Courier New" w:cs="Courier New" w:hint="default"/>
      </w:rPr>
    </w:lvl>
    <w:lvl w:ilvl="5" w:tplc="31A29290" w:tentative="1">
      <w:start w:val="1"/>
      <w:numFmt w:val="bullet"/>
      <w:lvlText w:val=""/>
      <w:lvlJc w:val="left"/>
      <w:pPr>
        <w:ind w:left="4320" w:hanging="360"/>
      </w:pPr>
      <w:rPr>
        <w:rFonts w:ascii="Wingdings" w:hAnsi="Wingdings" w:hint="default"/>
      </w:rPr>
    </w:lvl>
    <w:lvl w:ilvl="6" w:tplc="195A0872" w:tentative="1">
      <w:start w:val="1"/>
      <w:numFmt w:val="bullet"/>
      <w:lvlText w:val=""/>
      <w:lvlJc w:val="left"/>
      <w:pPr>
        <w:ind w:left="5040" w:hanging="360"/>
      </w:pPr>
      <w:rPr>
        <w:rFonts w:ascii="Symbol" w:hAnsi="Symbol" w:hint="default"/>
      </w:rPr>
    </w:lvl>
    <w:lvl w:ilvl="7" w:tplc="5A6C5A90" w:tentative="1">
      <w:start w:val="1"/>
      <w:numFmt w:val="bullet"/>
      <w:lvlText w:val="o"/>
      <w:lvlJc w:val="left"/>
      <w:pPr>
        <w:ind w:left="5760" w:hanging="360"/>
      </w:pPr>
      <w:rPr>
        <w:rFonts w:ascii="Courier New" w:hAnsi="Courier New" w:cs="Courier New" w:hint="default"/>
      </w:rPr>
    </w:lvl>
    <w:lvl w:ilvl="8" w:tplc="CA92D282"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3266C95E">
      <w:numFmt w:val="bullet"/>
      <w:lvlText w:val="-"/>
      <w:lvlJc w:val="left"/>
      <w:pPr>
        <w:ind w:left="2068" w:hanging="360"/>
      </w:pPr>
      <w:rPr>
        <w:rFonts w:ascii="Times New Roman" w:eastAsia="Times New Roman" w:hAnsi="Times New Roman" w:cs="Times New Roman" w:hint="default"/>
        <w:color w:val="auto"/>
      </w:rPr>
    </w:lvl>
    <w:lvl w:ilvl="1" w:tplc="ACB2B724" w:tentative="1">
      <w:start w:val="1"/>
      <w:numFmt w:val="bullet"/>
      <w:lvlText w:val="o"/>
      <w:lvlJc w:val="left"/>
      <w:pPr>
        <w:ind w:left="2788" w:hanging="360"/>
      </w:pPr>
      <w:rPr>
        <w:rFonts w:ascii="Courier New" w:hAnsi="Courier New" w:cs="Courier New" w:hint="default"/>
      </w:rPr>
    </w:lvl>
    <w:lvl w:ilvl="2" w:tplc="575AB280" w:tentative="1">
      <w:start w:val="1"/>
      <w:numFmt w:val="bullet"/>
      <w:lvlText w:val=""/>
      <w:lvlJc w:val="left"/>
      <w:pPr>
        <w:ind w:left="3508" w:hanging="360"/>
      </w:pPr>
      <w:rPr>
        <w:rFonts w:ascii="Wingdings" w:hAnsi="Wingdings" w:hint="default"/>
      </w:rPr>
    </w:lvl>
    <w:lvl w:ilvl="3" w:tplc="4F640802" w:tentative="1">
      <w:start w:val="1"/>
      <w:numFmt w:val="bullet"/>
      <w:lvlText w:val=""/>
      <w:lvlJc w:val="left"/>
      <w:pPr>
        <w:ind w:left="4228" w:hanging="360"/>
      </w:pPr>
      <w:rPr>
        <w:rFonts w:ascii="Symbol" w:hAnsi="Symbol" w:hint="default"/>
      </w:rPr>
    </w:lvl>
    <w:lvl w:ilvl="4" w:tplc="9D22BF16" w:tentative="1">
      <w:start w:val="1"/>
      <w:numFmt w:val="bullet"/>
      <w:lvlText w:val="o"/>
      <w:lvlJc w:val="left"/>
      <w:pPr>
        <w:ind w:left="4948" w:hanging="360"/>
      </w:pPr>
      <w:rPr>
        <w:rFonts w:ascii="Courier New" w:hAnsi="Courier New" w:cs="Courier New" w:hint="default"/>
      </w:rPr>
    </w:lvl>
    <w:lvl w:ilvl="5" w:tplc="26200534" w:tentative="1">
      <w:start w:val="1"/>
      <w:numFmt w:val="bullet"/>
      <w:lvlText w:val=""/>
      <w:lvlJc w:val="left"/>
      <w:pPr>
        <w:ind w:left="5668" w:hanging="360"/>
      </w:pPr>
      <w:rPr>
        <w:rFonts w:ascii="Wingdings" w:hAnsi="Wingdings" w:hint="default"/>
      </w:rPr>
    </w:lvl>
    <w:lvl w:ilvl="6" w:tplc="E33C1738" w:tentative="1">
      <w:start w:val="1"/>
      <w:numFmt w:val="bullet"/>
      <w:lvlText w:val=""/>
      <w:lvlJc w:val="left"/>
      <w:pPr>
        <w:ind w:left="6388" w:hanging="360"/>
      </w:pPr>
      <w:rPr>
        <w:rFonts w:ascii="Symbol" w:hAnsi="Symbol" w:hint="default"/>
      </w:rPr>
    </w:lvl>
    <w:lvl w:ilvl="7" w:tplc="27A68FEE" w:tentative="1">
      <w:start w:val="1"/>
      <w:numFmt w:val="bullet"/>
      <w:lvlText w:val="o"/>
      <w:lvlJc w:val="left"/>
      <w:pPr>
        <w:ind w:left="7108" w:hanging="360"/>
      </w:pPr>
      <w:rPr>
        <w:rFonts w:ascii="Courier New" w:hAnsi="Courier New" w:cs="Courier New" w:hint="default"/>
      </w:rPr>
    </w:lvl>
    <w:lvl w:ilvl="8" w:tplc="01A2EB04"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56046B8A">
      <w:numFmt w:val="bullet"/>
      <w:lvlText w:val="-"/>
      <w:lvlJc w:val="left"/>
      <w:pPr>
        <w:ind w:left="1080" w:hanging="360"/>
      </w:pPr>
      <w:rPr>
        <w:rFonts w:ascii="Times New Roman" w:eastAsia="Times New Roman" w:hAnsi="Times New Roman" w:cs="Times New Roman" w:hint="default"/>
        <w:color w:val="auto"/>
      </w:rPr>
    </w:lvl>
    <w:lvl w:ilvl="1" w:tplc="E4E6E212" w:tentative="1">
      <w:start w:val="1"/>
      <w:numFmt w:val="bullet"/>
      <w:lvlText w:val="o"/>
      <w:lvlJc w:val="left"/>
      <w:pPr>
        <w:ind w:left="1800" w:hanging="360"/>
      </w:pPr>
      <w:rPr>
        <w:rFonts w:ascii="Courier New" w:hAnsi="Courier New" w:cs="Courier New" w:hint="default"/>
      </w:rPr>
    </w:lvl>
    <w:lvl w:ilvl="2" w:tplc="6C8467EC" w:tentative="1">
      <w:start w:val="1"/>
      <w:numFmt w:val="bullet"/>
      <w:lvlText w:val=""/>
      <w:lvlJc w:val="left"/>
      <w:pPr>
        <w:ind w:left="2520" w:hanging="360"/>
      </w:pPr>
      <w:rPr>
        <w:rFonts w:ascii="Wingdings" w:hAnsi="Wingdings" w:hint="default"/>
      </w:rPr>
    </w:lvl>
    <w:lvl w:ilvl="3" w:tplc="43523712" w:tentative="1">
      <w:start w:val="1"/>
      <w:numFmt w:val="bullet"/>
      <w:lvlText w:val=""/>
      <w:lvlJc w:val="left"/>
      <w:pPr>
        <w:ind w:left="3240" w:hanging="360"/>
      </w:pPr>
      <w:rPr>
        <w:rFonts w:ascii="Symbol" w:hAnsi="Symbol" w:hint="default"/>
      </w:rPr>
    </w:lvl>
    <w:lvl w:ilvl="4" w:tplc="09F2D3F0" w:tentative="1">
      <w:start w:val="1"/>
      <w:numFmt w:val="bullet"/>
      <w:lvlText w:val="o"/>
      <w:lvlJc w:val="left"/>
      <w:pPr>
        <w:ind w:left="3960" w:hanging="360"/>
      </w:pPr>
      <w:rPr>
        <w:rFonts w:ascii="Courier New" w:hAnsi="Courier New" w:cs="Courier New" w:hint="default"/>
      </w:rPr>
    </w:lvl>
    <w:lvl w:ilvl="5" w:tplc="44748F4E" w:tentative="1">
      <w:start w:val="1"/>
      <w:numFmt w:val="bullet"/>
      <w:lvlText w:val=""/>
      <w:lvlJc w:val="left"/>
      <w:pPr>
        <w:ind w:left="4680" w:hanging="360"/>
      </w:pPr>
      <w:rPr>
        <w:rFonts w:ascii="Wingdings" w:hAnsi="Wingdings" w:hint="default"/>
      </w:rPr>
    </w:lvl>
    <w:lvl w:ilvl="6" w:tplc="08946760" w:tentative="1">
      <w:start w:val="1"/>
      <w:numFmt w:val="bullet"/>
      <w:lvlText w:val=""/>
      <w:lvlJc w:val="left"/>
      <w:pPr>
        <w:ind w:left="5400" w:hanging="360"/>
      </w:pPr>
      <w:rPr>
        <w:rFonts w:ascii="Symbol" w:hAnsi="Symbol" w:hint="default"/>
      </w:rPr>
    </w:lvl>
    <w:lvl w:ilvl="7" w:tplc="3AB226D0" w:tentative="1">
      <w:start w:val="1"/>
      <w:numFmt w:val="bullet"/>
      <w:lvlText w:val="o"/>
      <w:lvlJc w:val="left"/>
      <w:pPr>
        <w:ind w:left="6120" w:hanging="360"/>
      </w:pPr>
      <w:rPr>
        <w:rFonts w:ascii="Courier New" w:hAnsi="Courier New" w:cs="Courier New" w:hint="default"/>
      </w:rPr>
    </w:lvl>
    <w:lvl w:ilvl="8" w:tplc="687E21BA"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9AD45B54">
      <w:start w:val="2010"/>
      <w:numFmt w:val="bullet"/>
      <w:lvlText w:val="-"/>
      <w:lvlJc w:val="left"/>
      <w:pPr>
        <w:ind w:left="1140" w:hanging="360"/>
      </w:pPr>
      <w:rPr>
        <w:rFonts w:ascii="Times New Roman" w:eastAsia="Times New Roman" w:hAnsi="Times New Roman" w:cs="Times New Roman" w:hint="default"/>
      </w:rPr>
    </w:lvl>
    <w:lvl w:ilvl="1" w:tplc="32A65696" w:tentative="1">
      <w:start w:val="1"/>
      <w:numFmt w:val="bullet"/>
      <w:lvlText w:val="o"/>
      <w:lvlJc w:val="left"/>
      <w:pPr>
        <w:ind w:left="1860" w:hanging="360"/>
      </w:pPr>
      <w:rPr>
        <w:rFonts w:ascii="Courier New" w:hAnsi="Courier New" w:cs="Courier New" w:hint="default"/>
      </w:rPr>
    </w:lvl>
    <w:lvl w:ilvl="2" w:tplc="0D5CF76C" w:tentative="1">
      <w:start w:val="1"/>
      <w:numFmt w:val="bullet"/>
      <w:lvlText w:val=""/>
      <w:lvlJc w:val="left"/>
      <w:pPr>
        <w:ind w:left="2580" w:hanging="360"/>
      </w:pPr>
      <w:rPr>
        <w:rFonts w:ascii="Wingdings" w:hAnsi="Wingdings" w:hint="default"/>
      </w:rPr>
    </w:lvl>
    <w:lvl w:ilvl="3" w:tplc="AE824192" w:tentative="1">
      <w:start w:val="1"/>
      <w:numFmt w:val="bullet"/>
      <w:lvlText w:val=""/>
      <w:lvlJc w:val="left"/>
      <w:pPr>
        <w:ind w:left="3300" w:hanging="360"/>
      </w:pPr>
      <w:rPr>
        <w:rFonts w:ascii="Symbol" w:hAnsi="Symbol" w:hint="default"/>
      </w:rPr>
    </w:lvl>
    <w:lvl w:ilvl="4" w:tplc="CAC4747E" w:tentative="1">
      <w:start w:val="1"/>
      <w:numFmt w:val="bullet"/>
      <w:lvlText w:val="o"/>
      <w:lvlJc w:val="left"/>
      <w:pPr>
        <w:ind w:left="4020" w:hanging="360"/>
      </w:pPr>
      <w:rPr>
        <w:rFonts w:ascii="Courier New" w:hAnsi="Courier New" w:cs="Courier New" w:hint="default"/>
      </w:rPr>
    </w:lvl>
    <w:lvl w:ilvl="5" w:tplc="AA48114A" w:tentative="1">
      <w:start w:val="1"/>
      <w:numFmt w:val="bullet"/>
      <w:lvlText w:val=""/>
      <w:lvlJc w:val="left"/>
      <w:pPr>
        <w:ind w:left="4740" w:hanging="360"/>
      </w:pPr>
      <w:rPr>
        <w:rFonts w:ascii="Wingdings" w:hAnsi="Wingdings" w:hint="default"/>
      </w:rPr>
    </w:lvl>
    <w:lvl w:ilvl="6" w:tplc="C26AD11E" w:tentative="1">
      <w:start w:val="1"/>
      <w:numFmt w:val="bullet"/>
      <w:lvlText w:val=""/>
      <w:lvlJc w:val="left"/>
      <w:pPr>
        <w:ind w:left="5460" w:hanging="360"/>
      </w:pPr>
      <w:rPr>
        <w:rFonts w:ascii="Symbol" w:hAnsi="Symbol" w:hint="default"/>
      </w:rPr>
    </w:lvl>
    <w:lvl w:ilvl="7" w:tplc="F89C332E" w:tentative="1">
      <w:start w:val="1"/>
      <w:numFmt w:val="bullet"/>
      <w:lvlText w:val="o"/>
      <w:lvlJc w:val="left"/>
      <w:pPr>
        <w:ind w:left="6180" w:hanging="360"/>
      </w:pPr>
      <w:rPr>
        <w:rFonts w:ascii="Courier New" w:hAnsi="Courier New" w:cs="Courier New" w:hint="default"/>
      </w:rPr>
    </w:lvl>
    <w:lvl w:ilvl="8" w:tplc="D1C61170"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31C6FCC4">
      <w:start w:val="3"/>
      <w:numFmt w:val="bullet"/>
      <w:lvlText w:val="-"/>
      <w:lvlJc w:val="left"/>
      <w:pPr>
        <w:ind w:left="1140" w:hanging="360"/>
      </w:pPr>
      <w:rPr>
        <w:rFonts w:ascii="Times New Roman" w:eastAsia="Times New Roman" w:hAnsi="Times New Roman" w:cs="Times New Roman" w:hint="default"/>
      </w:rPr>
    </w:lvl>
    <w:lvl w:ilvl="1" w:tplc="B4EEB8AA" w:tentative="1">
      <w:start w:val="1"/>
      <w:numFmt w:val="bullet"/>
      <w:lvlText w:val="o"/>
      <w:lvlJc w:val="left"/>
      <w:pPr>
        <w:ind w:left="1860" w:hanging="360"/>
      </w:pPr>
      <w:rPr>
        <w:rFonts w:ascii="Courier New" w:hAnsi="Courier New" w:cs="Courier New" w:hint="default"/>
      </w:rPr>
    </w:lvl>
    <w:lvl w:ilvl="2" w:tplc="022222FC" w:tentative="1">
      <w:start w:val="1"/>
      <w:numFmt w:val="bullet"/>
      <w:lvlText w:val=""/>
      <w:lvlJc w:val="left"/>
      <w:pPr>
        <w:ind w:left="2580" w:hanging="360"/>
      </w:pPr>
      <w:rPr>
        <w:rFonts w:ascii="Wingdings" w:hAnsi="Wingdings" w:hint="default"/>
      </w:rPr>
    </w:lvl>
    <w:lvl w:ilvl="3" w:tplc="80C6CAF2" w:tentative="1">
      <w:start w:val="1"/>
      <w:numFmt w:val="bullet"/>
      <w:lvlText w:val=""/>
      <w:lvlJc w:val="left"/>
      <w:pPr>
        <w:ind w:left="3300" w:hanging="360"/>
      </w:pPr>
      <w:rPr>
        <w:rFonts w:ascii="Symbol" w:hAnsi="Symbol" w:hint="default"/>
      </w:rPr>
    </w:lvl>
    <w:lvl w:ilvl="4" w:tplc="1B36255E" w:tentative="1">
      <w:start w:val="1"/>
      <w:numFmt w:val="bullet"/>
      <w:lvlText w:val="o"/>
      <w:lvlJc w:val="left"/>
      <w:pPr>
        <w:ind w:left="4020" w:hanging="360"/>
      </w:pPr>
      <w:rPr>
        <w:rFonts w:ascii="Courier New" w:hAnsi="Courier New" w:cs="Courier New" w:hint="default"/>
      </w:rPr>
    </w:lvl>
    <w:lvl w:ilvl="5" w:tplc="0772FE2A" w:tentative="1">
      <w:start w:val="1"/>
      <w:numFmt w:val="bullet"/>
      <w:lvlText w:val=""/>
      <w:lvlJc w:val="left"/>
      <w:pPr>
        <w:ind w:left="4740" w:hanging="360"/>
      </w:pPr>
      <w:rPr>
        <w:rFonts w:ascii="Wingdings" w:hAnsi="Wingdings" w:hint="default"/>
      </w:rPr>
    </w:lvl>
    <w:lvl w:ilvl="6" w:tplc="52DAFBBC" w:tentative="1">
      <w:start w:val="1"/>
      <w:numFmt w:val="bullet"/>
      <w:lvlText w:val=""/>
      <w:lvlJc w:val="left"/>
      <w:pPr>
        <w:ind w:left="5460" w:hanging="360"/>
      </w:pPr>
      <w:rPr>
        <w:rFonts w:ascii="Symbol" w:hAnsi="Symbol" w:hint="default"/>
      </w:rPr>
    </w:lvl>
    <w:lvl w:ilvl="7" w:tplc="1A266864" w:tentative="1">
      <w:start w:val="1"/>
      <w:numFmt w:val="bullet"/>
      <w:lvlText w:val="o"/>
      <w:lvlJc w:val="left"/>
      <w:pPr>
        <w:ind w:left="6180" w:hanging="360"/>
      </w:pPr>
      <w:rPr>
        <w:rFonts w:ascii="Courier New" w:hAnsi="Courier New" w:cs="Courier New" w:hint="default"/>
      </w:rPr>
    </w:lvl>
    <w:lvl w:ilvl="8" w:tplc="27BCBB4C"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1A16FD4A">
      <w:start w:val="1"/>
      <w:numFmt w:val="decimal"/>
      <w:lvlText w:val="%1)"/>
      <w:lvlJc w:val="left"/>
      <w:pPr>
        <w:ind w:left="720" w:hanging="360"/>
      </w:pPr>
      <w:rPr>
        <w:rFonts w:hint="default"/>
        <w:color w:val="auto"/>
      </w:rPr>
    </w:lvl>
    <w:lvl w:ilvl="1" w:tplc="C59C920E" w:tentative="1">
      <w:start w:val="1"/>
      <w:numFmt w:val="lowerLetter"/>
      <w:lvlText w:val="%2."/>
      <w:lvlJc w:val="left"/>
      <w:pPr>
        <w:ind w:left="1440" w:hanging="360"/>
      </w:pPr>
    </w:lvl>
    <w:lvl w:ilvl="2" w:tplc="8B06EBF0" w:tentative="1">
      <w:start w:val="1"/>
      <w:numFmt w:val="lowerRoman"/>
      <w:lvlText w:val="%3."/>
      <w:lvlJc w:val="right"/>
      <w:pPr>
        <w:ind w:left="2160" w:hanging="180"/>
      </w:pPr>
    </w:lvl>
    <w:lvl w:ilvl="3" w:tplc="EFF62EF6" w:tentative="1">
      <w:start w:val="1"/>
      <w:numFmt w:val="decimal"/>
      <w:lvlText w:val="%4."/>
      <w:lvlJc w:val="left"/>
      <w:pPr>
        <w:ind w:left="2880" w:hanging="360"/>
      </w:pPr>
    </w:lvl>
    <w:lvl w:ilvl="4" w:tplc="1E88B25E" w:tentative="1">
      <w:start w:val="1"/>
      <w:numFmt w:val="lowerLetter"/>
      <w:lvlText w:val="%5."/>
      <w:lvlJc w:val="left"/>
      <w:pPr>
        <w:ind w:left="3600" w:hanging="360"/>
      </w:pPr>
    </w:lvl>
    <w:lvl w:ilvl="5" w:tplc="329AB118" w:tentative="1">
      <w:start w:val="1"/>
      <w:numFmt w:val="lowerRoman"/>
      <w:lvlText w:val="%6."/>
      <w:lvlJc w:val="right"/>
      <w:pPr>
        <w:ind w:left="4320" w:hanging="180"/>
      </w:pPr>
    </w:lvl>
    <w:lvl w:ilvl="6" w:tplc="9C5E51E8" w:tentative="1">
      <w:start w:val="1"/>
      <w:numFmt w:val="decimal"/>
      <w:lvlText w:val="%7."/>
      <w:lvlJc w:val="left"/>
      <w:pPr>
        <w:ind w:left="5040" w:hanging="360"/>
      </w:pPr>
    </w:lvl>
    <w:lvl w:ilvl="7" w:tplc="93082EA6" w:tentative="1">
      <w:start w:val="1"/>
      <w:numFmt w:val="lowerLetter"/>
      <w:lvlText w:val="%8."/>
      <w:lvlJc w:val="left"/>
      <w:pPr>
        <w:ind w:left="5760" w:hanging="360"/>
      </w:pPr>
    </w:lvl>
    <w:lvl w:ilvl="8" w:tplc="FA460BB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B6A09FA4">
      <w:start w:val="1"/>
      <w:numFmt w:val="bullet"/>
      <w:lvlText w:val="-"/>
      <w:lvlJc w:val="left"/>
      <w:pPr>
        <w:ind w:left="928" w:hanging="360"/>
      </w:pPr>
      <w:rPr>
        <w:rFonts w:ascii="Times New Roman" w:eastAsia="Times New Roman" w:hAnsi="Times New Roman" w:cs="Times New Roman" w:hint="default"/>
      </w:rPr>
    </w:lvl>
    <w:lvl w:ilvl="1" w:tplc="D86E71EA" w:tentative="1">
      <w:start w:val="1"/>
      <w:numFmt w:val="bullet"/>
      <w:lvlText w:val="o"/>
      <w:lvlJc w:val="left"/>
      <w:pPr>
        <w:ind w:left="1860" w:hanging="360"/>
      </w:pPr>
      <w:rPr>
        <w:rFonts w:ascii="Courier New" w:hAnsi="Courier New" w:cs="Courier New" w:hint="default"/>
      </w:rPr>
    </w:lvl>
    <w:lvl w:ilvl="2" w:tplc="7A26925E" w:tentative="1">
      <w:start w:val="1"/>
      <w:numFmt w:val="bullet"/>
      <w:lvlText w:val=""/>
      <w:lvlJc w:val="left"/>
      <w:pPr>
        <w:ind w:left="2580" w:hanging="360"/>
      </w:pPr>
      <w:rPr>
        <w:rFonts w:ascii="Wingdings" w:hAnsi="Wingdings" w:hint="default"/>
      </w:rPr>
    </w:lvl>
    <w:lvl w:ilvl="3" w:tplc="B644DBB6" w:tentative="1">
      <w:start w:val="1"/>
      <w:numFmt w:val="bullet"/>
      <w:lvlText w:val=""/>
      <w:lvlJc w:val="left"/>
      <w:pPr>
        <w:ind w:left="3300" w:hanging="360"/>
      </w:pPr>
      <w:rPr>
        <w:rFonts w:ascii="Symbol" w:hAnsi="Symbol" w:hint="default"/>
      </w:rPr>
    </w:lvl>
    <w:lvl w:ilvl="4" w:tplc="7890B370" w:tentative="1">
      <w:start w:val="1"/>
      <w:numFmt w:val="bullet"/>
      <w:lvlText w:val="o"/>
      <w:lvlJc w:val="left"/>
      <w:pPr>
        <w:ind w:left="4020" w:hanging="360"/>
      </w:pPr>
      <w:rPr>
        <w:rFonts w:ascii="Courier New" w:hAnsi="Courier New" w:cs="Courier New" w:hint="default"/>
      </w:rPr>
    </w:lvl>
    <w:lvl w:ilvl="5" w:tplc="40183578" w:tentative="1">
      <w:start w:val="1"/>
      <w:numFmt w:val="bullet"/>
      <w:lvlText w:val=""/>
      <w:lvlJc w:val="left"/>
      <w:pPr>
        <w:ind w:left="4740" w:hanging="360"/>
      </w:pPr>
      <w:rPr>
        <w:rFonts w:ascii="Wingdings" w:hAnsi="Wingdings" w:hint="default"/>
      </w:rPr>
    </w:lvl>
    <w:lvl w:ilvl="6" w:tplc="AD68F4E8" w:tentative="1">
      <w:start w:val="1"/>
      <w:numFmt w:val="bullet"/>
      <w:lvlText w:val=""/>
      <w:lvlJc w:val="left"/>
      <w:pPr>
        <w:ind w:left="5460" w:hanging="360"/>
      </w:pPr>
      <w:rPr>
        <w:rFonts w:ascii="Symbol" w:hAnsi="Symbol" w:hint="default"/>
      </w:rPr>
    </w:lvl>
    <w:lvl w:ilvl="7" w:tplc="2AFC8E7E" w:tentative="1">
      <w:start w:val="1"/>
      <w:numFmt w:val="bullet"/>
      <w:lvlText w:val="o"/>
      <w:lvlJc w:val="left"/>
      <w:pPr>
        <w:ind w:left="6180" w:hanging="360"/>
      </w:pPr>
      <w:rPr>
        <w:rFonts w:ascii="Courier New" w:hAnsi="Courier New" w:cs="Courier New" w:hint="default"/>
      </w:rPr>
    </w:lvl>
    <w:lvl w:ilvl="8" w:tplc="DEBECCBC"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3CC0"/>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22A8"/>
    <w:rsid w:val="003D6606"/>
    <w:rsid w:val="003D668E"/>
    <w:rsid w:val="003E0799"/>
    <w:rsid w:val="003E5A3D"/>
    <w:rsid w:val="003F2095"/>
    <w:rsid w:val="00400905"/>
    <w:rsid w:val="00401A44"/>
    <w:rsid w:val="00403E40"/>
    <w:rsid w:val="00407E78"/>
    <w:rsid w:val="00410DFE"/>
    <w:rsid w:val="00413703"/>
    <w:rsid w:val="004141F2"/>
    <w:rsid w:val="0041539D"/>
    <w:rsid w:val="004229DC"/>
    <w:rsid w:val="00431991"/>
    <w:rsid w:val="00432730"/>
    <w:rsid w:val="00433C52"/>
    <w:rsid w:val="00434BBB"/>
    <w:rsid w:val="00435DEC"/>
    <w:rsid w:val="00452338"/>
    <w:rsid w:val="00454EDF"/>
    <w:rsid w:val="004618D7"/>
    <w:rsid w:val="00463550"/>
    <w:rsid w:val="00466B73"/>
    <w:rsid w:val="004744C7"/>
    <w:rsid w:val="00480412"/>
    <w:rsid w:val="00480969"/>
    <w:rsid w:val="004821EF"/>
    <w:rsid w:val="004859F9"/>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929C5"/>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656DC"/>
    <w:rsid w:val="00682A4C"/>
    <w:rsid w:val="0068460C"/>
    <w:rsid w:val="00684C95"/>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7324E"/>
    <w:rsid w:val="008744FB"/>
    <w:rsid w:val="00881B02"/>
    <w:rsid w:val="00882FF8"/>
    <w:rsid w:val="00885E46"/>
    <w:rsid w:val="0089136E"/>
    <w:rsid w:val="008970DD"/>
    <w:rsid w:val="00897389"/>
    <w:rsid w:val="008A110A"/>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2F"/>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B0800"/>
    <w:rsid w:val="00AC0C28"/>
    <w:rsid w:val="00AC2269"/>
    <w:rsid w:val="00AC5867"/>
    <w:rsid w:val="00AC7AF5"/>
    <w:rsid w:val="00AD0176"/>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3FE2"/>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6666"/>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663D"/>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2EBF9853-3455-4A6C-B154-0092645F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859F9"/>
    <w:rPr>
      <w:rFonts w:ascii="Times New Roman" w:eastAsia="Times New Roman" w:hAnsi="Times New Roman"/>
      <w:sz w:val="24"/>
      <w:szCs w:val="24"/>
      <w:lang w:eastAsia="en-US"/>
    </w:rPr>
  </w:style>
  <w:style w:type="character" w:styleId="Hipersaite">
    <w:name w:val="Hyperlink"/>
    <w:basedOn w:val="Noklusjumarindkopasfonts"/>
    <w:uiPriority w:val="99"/>
    <w:rsid w:val="004859F9"/>
    <w:rPr>
      <w:color w:val="0563C1"/>
      <w:u w:val="single"/>
    </w:rPr>
  </w:style>
  <w:style w:type="character" w:customStyle="1" w:styleId="xcontentpasted0">
    <w:name w:val="x_contentpasted0"/>
    <w:basedOn w:val="Noklusjumarindkopasfonts"/>
    <w:rsid w:val="004859F9"/>
  </w:style>
  <w:style w:type="paragraph" w:customStyle="1" w:styleId="naisf">
    <w:name w:val="naisf"/>
    <w:basedOn w:val="Parasts"/>
    <w:rsid w:val="004859F9"/>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12099</Words>
  <Characters>6897</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